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2C7D" w14:textId="2D669FBC" w:rsidR="004801A0" w:rsidRPr="008C1849" w:rsidRDefault="00F54616">
      <w:pPr>
        <w:rPr>
          <w:b/>
          <w:bCs/>
        </w:rPr>
      </w:pPr>
      <w:r w:rsidRPr="008C1849">
        <w:rPr>
          <w:b/>
          <w:bCs/>
        </w:rPr>
        <w:t>CALL FOR APPLICATIONS FOR DIRECTOR GENERAL POSITION HUN-REN WIGNER RESEARCH CENTRE FOR PHYSICS (HUN-REN Wigner RCP) BUDAPEST, HUNGARY</w:t>
      </w:r>
    </w:p>
    <w:p w14:paraId="16E4D725" w14:textId="77777777" w:rsidR="00F54616" w:rsidRDefault="00F54616"/>
    <w:p w14:paraId="65D16002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323253"/>
          <w:kern w:val="0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The HUN-REN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Research Network (HUN-REN)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invites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applications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position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of Director General of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HUN-REN Wigner Research Centre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Physic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(HUN-REN Wigner RCP) Budapest, Hungary.</w:t>
      </w:r>
    </w:p>
    <w:p w14:paraId="2C5D2390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invite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from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visionary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skills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track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driving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future-oriented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programmes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providing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high-level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across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broad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range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0C2A284D" w14:textId="11A6A9D2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deadline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</w:t>
      </w:r>
      <w:r w:rsidR="005106CF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01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="005106CF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September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2026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Expected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start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date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 no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later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1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January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2027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Place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work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 HUN-REN Wigner Research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, Konkoly-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Miklós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street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29-33, Budapest, Hungary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  <w:t xml:space="preserve">See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detailed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information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requirements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well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terms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conditions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below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4858D568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ABOUT THE CALL-OPENING ORGANIZATION</w:t>
      </w:r>
    </w:p>
    <w:p w14:paraId="12FFE2E8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 xml:space="preserve">HUN-REN </w:t>
      </w:r>
      <w:proofErr w:type="spellStart"/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 xml:space="preserve"> Research Network</w:t>
      </w:r>
    </w:p>
    <w:p w14:paraId="7DB095E0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hyperlink r:id="rId8" w:tgtFrame="_blank" w:history="1"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 xml:space="preserve">HUN-REN – </w:t>
        </w:r>
        <w:proofErr w:type="spellStart"/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>the</w:t>
        </w:r>
        <w:proofErr w:type="spellEnd"/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 xml:space="preserve"> </w:t>
        </w:r>
        <w:proofErr w:type="spellStart"/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>Hungarian</w:t>
        </w:r>
        <w:proofErr w:type="spellEnd"/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 xml:space="preserve"> Research Network</w:t>
        </w:r>
      </w:hyperlink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 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flagship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central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pillar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ecosystem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comprises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15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more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5,000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employees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approximately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3,400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working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across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wide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range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disciplines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STEM, LIFE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frontier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The HUN-REN Wigner Research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(HUN-REN Wigner RCP)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one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HUN-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below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more).</w:t>
      </w:r>
    </w:p>
    <w:p w14:paraId="7A72AA08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mission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deliver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world-class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excellence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expands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frontiers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knowledge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generates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breakthroughs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global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impact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contributes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innovation-driven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economic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growth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discovery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transcends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geographical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borders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HUN-REN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advancing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knowledge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benefit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humanity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while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reinforcing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role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dynamic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contributor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global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ecosystem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1BF1F842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Following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adoption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Parliament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December 2024, HUN-REN –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established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network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former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–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lastRenderedPageBreak/>
        <w:t>was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further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strengthened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2025.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This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enhanced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autonomy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independence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unified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network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outside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system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while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continuing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perform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public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tasks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receive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funding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within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pre-planned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, performance-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based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predictable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framework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2CCDBF7D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Building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tradition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excellence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achievements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HUN-REN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undergoing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renewal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aimed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positioning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Network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among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world’s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reinforcing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role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dynamic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hub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discovery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pillars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excellence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measured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standards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freedom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serving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society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future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Hungary.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aligns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agenda,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John von Neumann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Programme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which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prioritises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four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key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digital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transformation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artificial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intelligence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health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life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sustainable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environment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energy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safety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security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6C37EB22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HUN-REN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President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profile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while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day-to-day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managed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Chief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Executive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Officer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corporate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background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oversight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decision-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making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entrusted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seven-member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Governing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Board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chaired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President. 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majority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members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participants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community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while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others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3844778E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15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independent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legal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entities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under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Law,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each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own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structure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budget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while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forming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integrated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network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within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overarching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framework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HUN-REN.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Directors-Generals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appointed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President of 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consent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Governing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Board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following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Directors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-General play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key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role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effective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performance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Network 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more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bellow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).</w:t>
      </w:r>
    </w:p>
    <w:p w14:paraId="35AB5455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regards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continuous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value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chain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which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each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element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– from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fundamental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implementation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– plays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essential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role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this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approach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among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education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industry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other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partners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is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key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importance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ensuring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flow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knowledge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integration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capacities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effective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translation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results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societal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economic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impact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08CF213E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innovation-oriented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approach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practical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value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creation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further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strengthened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HUNRENTECH Ltd.,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technology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transfer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company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providing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link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between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and market.</w:t>
      </w:r>
    </w:p>
    <w:p w14:paraId="0D3AEB45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Through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interdisciplinary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approach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contributes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significantly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progress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strengthens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European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global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competitiveness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Hungary,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while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generating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knowledge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tools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address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broader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societal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technological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challenges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28605BD5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The HUN-REN Wigner Research Centre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(HUN-REN Wigner RCP), Budapest, Hungary</w:t>
      </w:r>
    </w:p>
    <w:p w14:paraId="13AFC2D6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hyperlink r:id="rId9" w:tgtFrame="_blank" w:history="1"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 xml:space="preserve">The HUN-REN Wigner Research Centre </w:t>
        </w:r>
        <w:proofErr w:type="spellStart"/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>for</w:t>
        </w:r>
        <w:proofErr w:type="spellEnd"/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 xml:space="preserve"> </w:t>
        </w:r>
        <w:proofErr w:type="spellStart"/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>Physics</w:t>
        </w:r>
        <w:proofErr w:type="spellEnd"/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 xml:space="preserve"> (HUN-REN Wigner RCP)</w:t>
        </w:r>
      </w:hyperlink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 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one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15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58D25805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HUN-REN Wigner RCP is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European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advanced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solid-state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optics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portfolio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spans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curiosity-driven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discovery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mission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oriented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noBreakHyphen/>
        <w:t>applied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quantum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technology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photonics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chemistry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computer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cutting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edge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noBreakHyphen/>
        <w:t>instrumentation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advanced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computing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capacities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unique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laboratory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capabilities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18878E36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Building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strengths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basic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HUN-REN Wigner RCP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noBreakHyphen/>
        <w:t>of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noBreakHyphen/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-art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methods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technologies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breakthrough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across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multiple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domains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line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objectives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nuclear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solid-state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optics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materials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photonics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computer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quantum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frontier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research.</w:t>
      </w:r>
    </w:p>
    <w:p w14:paraId="236771A7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HUN-REN Wigner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RCP’s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infrastructure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capabilities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Magnetically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Shielded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Laboratory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Excellent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Infrastructures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Functional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Materials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Laboratory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FunMatLab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),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Vesztergombi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Energy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Laboratory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(VLAB),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Wigner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Computing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Laboratory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(WSCLAB),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Wigner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Laser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Spectroscopy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Large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noBreakHyphen/>
        <w:t>scale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computational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data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capabilities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provided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Wigner Data Centre –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among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others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hosting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computing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cloud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Together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facilities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noBreakHyphen/>
        <w:t>impact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foster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partnerships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across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academia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large-scale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infrastructures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industry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public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sector.</w:t>
      </w:r>
    </w:p>
    <w:p w14:paraId="527FEACF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maintains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broad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network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across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large-scale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infrastructures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universities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industrial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partners. Key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partners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European Organization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Nuclear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(CERN),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Extreme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Light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Infrastructure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(ELI), INFN Milano/LASA, CIEMAT, The University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Tokyo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Princeton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Plasma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Laboratory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Max Planck Institute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Solid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Research, RIKEN National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Laboratories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SaxonQ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Layertec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KU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Leuven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several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technology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companies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105FEA8F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research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currently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employs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more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320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people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more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210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across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career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stages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4AB61DE1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Budapest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hub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powerhouse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economy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The city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provides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outstanding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environment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 Wigner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RCP’s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long-term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growth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offers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links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universities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technology-oriented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partners.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accessibility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concentration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talent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create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favourable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conditions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recruitment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sustained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long-term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Centre’s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actively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participate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teaching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doctoral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training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universities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Eötvös Loránd University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Budapest University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Technology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Economics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raising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 Wigner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RCP’s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profile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quick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integration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new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findings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programs.</w:t>
      </w:r>
    </w:p>
    <w:p w14:paraId="47A527D7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ABOUT THE CALL FOR DIRECTOR GENERAL POSITION AT HUN-WIGNER RCP</w:t>
      </w:r>
    </w:p>
    <w:p w14:paraId="25F63A8C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invite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Director General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position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HUN-REN Wigner Research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(HUN-REN Wigner RCP) from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visionary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skills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track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driving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future-oriented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programmes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providing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high-level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across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broad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range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 Wigner RCP.</w:t>
      </w:r>
    </w:p>
    <w:p w14:paraId="7230E5B9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successful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candidate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be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accomplished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, front-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rank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management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enhance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Centre’s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global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standing,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broaden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ensure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participation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global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ecosystems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focusing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also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partnership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cooperation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58E9D461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Appointment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conditions</w:t>
      </w:r>
      <w:proofErr w:type="spellEnd"/>
    </w:p>
    <w:p w14:paraId="1D8575EA" w14:textId="77777777" w:rsidR="008C1849" w:rsidRPr="008C1849" w:rsidRDefault="008C1849" w:rsidP="008C184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position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is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fulltime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appointment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four-year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term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extendable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further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two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years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following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comprehensive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evaluation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Upon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completion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term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candidates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new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term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24096255" w14:textId="77777777" w:rsidR="008C1849" w:rsidRPr="008C1849" w:rsidRDefault="008C1849" w:rsidP="008C184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Employer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President of HUN-REN.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Employment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conditions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governed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law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170E25EE" w14:textId="77777777" w:rsidR="008C1849" w:rsidRPr="008C1849" w:rsidRDefault="008C1849" w:rsidP="008C184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competitive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remuneration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allowance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package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offered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commensurate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standards.</w:t>
      </w:r>
    </w:p>
    <w:p w14:paraId="14D1E724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Equity and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inclusion</w:t>
      </w:r>
      <w:proofErr w:type="spellEnd"/>
    </w:p>
    <w:p w14:paraId="539D1516" w14:textId="77777777" w:rsidR="008C1849" w:rsidRPr="008C1849" w:rsidRDefault="008C1849" w:rsidP="008C184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HUN-REN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diversity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equal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opportunity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inclusive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environment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4C3ED1FF" w14:textId="77777777" w:rsidR="008C1849" w:rsidRPr="008C1849" w:rsidRDefault="008C1849" w:rsidP="008C184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handled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strict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confidentiality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210AF7C9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OVERVIEW ABOUT THE DIRECTOR GENERAL POSITION</w:t>
      </w:r>
    </w:p>
    <w:p w14:paraId="3CD08CD2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Director General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chief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executive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 Wigner RCP,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responsible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shaping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long-term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strengthening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 of research excellence,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ensuring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effective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transparent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role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requires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excellence,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within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HUN-REN.</w:t>
      </w:r>
    </w:p>
    <w:p w14:paraId="27B733F9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The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</w:t>
      </w: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Director General</w:t>
      </w:r>
    </w:p>
    <w:p w14:paraId="3A51AF93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formulates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coordinates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implements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centre’s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objectives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plans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6AC96541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ensures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4B3E5A0F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contributes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mission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objectives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3211DD92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prepares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implements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centre’s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business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budget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726E07FF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provides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lawful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efficient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transparent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Centre;</w:t>
      </w:r>
    </w:p>
    <w:p w14:paraId="0235B94D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represents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centre,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exercises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employer’s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rights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manages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assets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contractual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obligations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62127598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aims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securing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additional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funding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through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EU,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sources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industry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relations;</w:t>
      </w:r>
    </w:p>
    <w:p w14:paraId="79363204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promotes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IP management,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industry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relations;</w:t>
      </w:r>
    </w:p>
    <w:p w14:paraId="2F29C694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career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training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next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generation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attraction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young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70B3F0CE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strengthens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relations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expands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cooperation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industry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education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sectors;</w:t>
      </w:r>
    </w:p>
    <w:p w14:paraId="422A1542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enhances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partnerships;</w:t>
      </w:r>
    </w:p>
    <w:p w14:paraId="637E59B8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actively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contributes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governance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decision-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making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bodies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implements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their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decisions.</w:t>
      </w:r>
    </w:p>
    <w:p w14:paraId="0144D265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detailed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roles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responsibilities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Director General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out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regulations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</w:t>
      </w:r>
      <w:hyperlink r:id="rId10" w:tgtFrame="_blank" w:history="1"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lang w:eastAsia="hu-HU"/>
            <w14:ligatures w14:val="none"/>
          </w:rPr>
          <w:t>HUN-REN</w:t>
        </w:r>
      </w:hyperlink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and </w:t>
      </w:r>
      <w:hyperlink r:id="rId11" w:tgtFrame="_blank" w:history="1"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>H</w:t>
        </w:r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>UN-REN Wigner RCP</w:t>
        </w:r>
      </w:hyperlink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48482B68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KEY EXPECTATIONS AND SELECTION CRITERIA</w:t>
      </w:r>
    </w:p>
    <w:p w14:paraId="13B60FE6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Key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expectations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candidate</w:t>
      </w:r>
      <w:proofErr w:type="spellEnd"/>
    </w:p>
    <w:p w14:paraId="4A8CA4B3" w14:textId="77777777" w:rsidR="008C1849" w:rsidRPr="008C1849" w:rsidRDefault="008C1849" w:rsidP="008C1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defining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priorities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identifying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forward-looking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directions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10973F12" w14:textId="77777777" w:rsidR="008C1849" w:rsidRPr="008C1849" w:rsidRDefault="008C1849" w:rsidP="008C1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programme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identifying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nurturing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outstanding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projects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initiatives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overseeing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their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progress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155B596D" w14:textId="77777777" w:rsidR="008C1849" w:rsidRPr="008C1849" w:rsidRDefault="008C1849" w:rsidP="008C1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research excellence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career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professional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growth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community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managing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performance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evaluation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systems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ensuring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high-quality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culture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6C8273CD" w14:textId="77777777" w:rsidR="008C1849" w:rsidRPr="008C1849" w:rsidRDefault="008C1849" w:rsidP="008C1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engagement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strengthening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centre’s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partnerships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universities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consortia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participation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environment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63A16B11" w14:textId="77777777" w:rsidR="008C1849" w:rsidRPr="008C1849" w:rsidRDefault="008C1849" w:rsidP="008C1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financial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head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overseeing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financial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human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resources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processes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centre; preparing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implementing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annual business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budget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acquisition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funding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42956516" w14:textId="77777777" w:rsidR="008C1849" w:rsidRPr="008C1849" w:rsidRDefault="008C1849" w:rsidP="008C1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network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maintaining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cooperation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noBreakHyphen/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enhancing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synergies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within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network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joint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initiatives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7853C4C5" w14:textId="77777777" w:rsidR="008C1849" w:rsidRPr="008C1849" w:rsidRDefault="008C1849" w:rsidP="008C1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representation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communication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representing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centre’s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interests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promoting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achievements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societal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relevance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40B0BA38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Key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selection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criteria</w:t>
      </w:r>
      <w:proofErr w:type="spellEnd"/>
    </w:p>
    <w:p w14:paraId="56E4CB89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demonstrated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capacity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define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deliver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clear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forward-looking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aligned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framework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track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complex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programmes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226134C4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excellence in research,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evidenced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achievements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high-impact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outputs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credibility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combined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fostering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excellence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talent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06320F8F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secure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manage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competitive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funding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EU,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)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oversee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large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multidisciplinary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portfolios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track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securing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major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and/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grants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498B97F2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established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building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high-level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partnerships,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networks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enhancing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integration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global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ecosystems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0B510532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engagement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 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technology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transfer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intellectual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property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ensuring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societal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economic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impact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research;</w:t>
      </w:r>
    </w:p>
    <w:p w14:paraId="3E410051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solid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financial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budgeting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resource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allocation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governance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transparency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accountability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compliance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5EB60342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capacity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contribute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network-level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coordination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governance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working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effectively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central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bodies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peer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07A7E108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excellent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representation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communication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stakeholder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engagement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skills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position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4E70B284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lead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change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promote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interdisciplinarity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strengthen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performance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within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competitive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environment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547D5E26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ABOUT THE FORMAL REQUIREMENTS OF THE APPLICANT</w:t>
      </w:r>
    </w:p>
    <w:p w14:paraId="6891BCBB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position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Director General of HUN-REN Wigner RCP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should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scientists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scholars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outstanding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ideal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candidate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lead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complex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competitive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global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environment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3A024579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successful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candidate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have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outstanding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track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relevant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area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Suitable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backgrounds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nuclear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atomic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molecular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optics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quantum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condensed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matter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astrophysics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Candidates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contributions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demonstrated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experimental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theoretical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programmes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advancing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major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infrastructures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particularly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encouraged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0430103F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Essential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qualifications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include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</w:t>
      </w:r>
    </w:p>
    <w:p w14:paraId="42EBF9D5" w14:textId="77777777" w:rsidR="008C1849" w:rsidRPr="008C1849" w:rsidRDefault="008C1849" w:rsidP="008C184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highest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possible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degree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but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least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PhD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equivalent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doctoral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degree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71DC3C03" w14:textId="77777777" w:rsidR="008C1849" w:rsidRPr="008C1849" w:rsidRDefault="008C1849" w:rsidP="008C184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excellent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reputation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evidenced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impact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publications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and/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major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scholarly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achievements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28F744EA" w14:textId="77777777" w:rsidR="008C1849" w:rsidRPr="008C1849" w:rsidRDefault="008C1849" w:rsidP="008C184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lead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groups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departments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311B885F" w14:textId="77777777" w:rsidR="008C1849" w:rsidRPr="008C1849" w:rsidRDefault="008C1849" w:rsidP="008C184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planning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management;</w:t>
      </w:r>
    </w:p>
    <w:p w14:paraId="084B634E" w14:textId="77777777" w:rsidR="008C1849" w:rsidRPr="008C1849" w:rsidRDefault="008C1849" w:rsidP="008C184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interdisciplinary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cooperation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4F2D630E" w14:textId="77777777" w:rsidR="008C1849" w:rsidRPr="008C1849" w:rsidRDefault="008C1849" w:rsidP="008C184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demonstrated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attract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competitive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funding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1B3DE103" w14:textId="77777777" w:rsidR="008C1849" w:rsidRPr="008C1849" w:rsidRDefault="008C1849" w:rsidP="008C184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excellent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communication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skills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English.</w:t>
      </w:r>
    </w:p>
    <w:p w14:paraId="2FEDEA29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APPLICANT SUBMISSION PORTFOLIO</w:t>
      </w:r>
    </w:p>
    <w:p w14:paraId="553CF7F7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requested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submit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following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documents</w:t>
      </w:r>
      <w:proofErr w:type="spellEnd"/>
    </w:p>
    <w:p w14:paraId="1F01AD1A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1. Curriculum Vitae 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photo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)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following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information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: 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education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degrees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previous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positions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professional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research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teaching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mentoring;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engagement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industrial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partnerships;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awards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positions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bodies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societal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List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publications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appendix.</w:t>
      </w:r>
    </w:p>
    <w:p w14:paraId="1E5A8747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2. Vision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Document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 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outlining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Institute’s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future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priorities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goals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model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alignment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objectives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global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trends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clear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concept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based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excellence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1204778D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3.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Designation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Referees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 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relevant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position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(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professional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competencies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):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designation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three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referees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least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from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two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different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countries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–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please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indicate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title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email,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short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description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working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relationship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/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/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); 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conflicts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interest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arising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from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hierarchical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subordinate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–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superior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)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relationships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within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existing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employment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relationship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not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permitted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506B1E02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4.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Certificate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of Good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Conduct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official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criminal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certificate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police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clearance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)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issued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authorities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country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residence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/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citizenship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)</w:t>
      </w:r>
    </w:p>
    <w:p w14:paraId="386B1F00" w14:textId="77777777" w:rsidR="008C1849" w:rsidRPr="008C1849" w:rsidRDefault="008C1849" w:rsidP="008C184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citizens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submission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certificate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good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conduct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accordance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current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legislation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mandatory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(erkölcsi bizonyítvány);</w:t>
      </w:r>
    </w:p>
    <w:p w14:paraId="0091088A" w14:textId="77777777" w:rsidR="008C1849" w:rsidRPr="008C1849" w:rsidRDefault="008C1849" w:rsidP="008C184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foreign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, country-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specific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documents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also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acceptable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e.g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.,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official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certificate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good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conduct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equivalent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official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document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).</w:t>
      </w:r>
    </w:p>
    <w:p w14:paraId="570138D3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ABOUT THE SUBMISSION AND THE SELECTION PROCESS</w:t>
      </w:r>
    </w:p>
    <w:p w14:paraId="64EDD450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deadline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31 May 2026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Expected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evaluation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period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 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3-5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months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Expected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start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date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 no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later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1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January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2027</w:t>
      </w:r>
    </w:p>
    <w:p w14:paraId="12F6E851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Selection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process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 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preliminary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screening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informed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detailed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evaluation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procedure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review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committee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followed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evaluation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phase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involving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distinguished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scientists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final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decision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made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President of HUN-REN,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exercising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employer’s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rights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following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consultation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Governing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Board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HUN-REN.</w:t>
      </w:r>
    </w:p>
    <w:p w14:paraId="253B2A71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Language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requirements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 Please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submit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documents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either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English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language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If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documents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submitted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proceeds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evaluation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phase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involving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members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selection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committee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submission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documentation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English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within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one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week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upon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request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is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condition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participation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selection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process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language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interviews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English;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however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level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English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language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proficiency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required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69D801AC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Please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submit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your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complete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package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 </w:t>
      </w: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opencall.directorgeneral@hun-ren.hu</w:t>
      </w:r>
    </w:p>
    <w:p w14:paraId="1EC50E69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documents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must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not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older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90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days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time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submission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  <w:t xml:space="preserve">Please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following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subject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line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submitting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your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Subject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Application_DG</w:t>
      </w:r>
      <w:proofErr w:type="spellEnd"/>
      <w:proofErr w:type="gram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_[</w:t>
      </w:r>
      <w:proofErr w:type="gram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proofErr w:type="gram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]_</w:t>
      </w:r>
      <w:proofErr w:type="gram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[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]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Example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Application_DG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_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HUNRENWIGNERRCP_Jane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DOE</w:t>
      </w:r>
    </w:p>
    <w:p w14:paraId="08C68D57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Please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ensure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file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names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attached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package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clear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unambiguous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Example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Jane DOE_HUNRENWIGNERRCP_CV;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Jane_DOE_HUNRENWIGNERRCP_Publication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list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Jane_DOE_HUNRENWIGNERRCP_Vision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Document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Jane_DOE_HUNRENWIGNERRCP_LoS</w:t>
      </w:r>
      <w:proofErr w:type="spellEnd"/>
    </w:p>
    <w:p w14:paraId="4429091D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CONTACTS AND FURTHER INFORMATION</w:t>
      </w:r>
    </w:p>
    <w:p w14:paraId="754F7473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more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information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about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 Wigner RCP,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please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fldChar w:fldCharType="begin"/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instrText>HYPERLINK "https://hun-ren.hu/hun-ren-en/hun-ren-wigner-research-centre-for-physics-109963" \t "_blank"</w:instrTex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fldChar w:fldCharType="separate"/>
      </w:r>
      <w:r w:rsidRPr="008C1849">
        <w:rPr>
          <w:rFonts w:ascii="Arial" w:eastAsia="Times New Roman" w:hAnsi="Arial" w:cs="Arial"/>
          <w:b/>
          <w:bCs/>
          <w:color w:val="0769E9"/>
          <w:kern w:val="0"/>
          <w:sz w:val="27"/>
          <w:szCs w:val="27"/>
          <w:u w:val="single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b/>
          <w:bCs/>
          <w:color w:val="0769E9"/>
          <w:kern w:val="0"/>
          <w:sz w:val="27"/>
          <w:szCs w:val="27"/>
          <w:u w:val="single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0769E9"/>
          <w:kern w:val="0"/>
          <w:sz w:val="27"/>
          <w:szCs w:val="27"/>
          <w:u w:val="single"/>
          <w:lang w:eastAsia="hu-HU"/>
          <w14:ligatures w14:val="none"/>
        </w:rPr>
        <w:t>following</w:t>
      </w:r>
      <w:proofErr w:type="spellEnd"/>
      <w:r w:rsidRPr="008C1849">
        <w:rPr>
          <w:rFonts w:ascii="Arial" w:eastAsia="Times New Roman" w:hAnsi="Arial" w:cs="Arial"/>
          <w:b/>
          <w:bCs/>
          <w:color w:val="0769E9"/>
          <w:kern w:val="0"/>
          <w:sz w:val="27"/>
          <w:szCs w:val="27"/>
          <w:u w:val="single"/>
          <w:lang w:eastAsia="hu-HU"/>
          <w14:ligatures w14:val="none"/>
        </w:rPr>
        <w:t xml:space="preserve"> link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fldChar w:fldCharType="end"/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more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information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about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please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</w:t>
      </w:r>
      <w:hyperlink r:id="rId12" w:tgtFrame="_blank" w:history="1"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>ttps://hun-ren.hu/home</w:t>
        </w:r>
      </w:hyperlink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12A72020" w14:textId="77777777" w:rsidR="00F54616" w:rsidRPr="00F54616" w:rsidRDefault="00F54616" w:rsidP="00F54616">
      <w:r w:rsidRPr="00F54616">
        <w:t> </w:t>
      </w:r>
    </w:p>
    <w:p w14:paraId="7B91BC5C" w14:textId="77777777" w:rsidR="00F54616" w:rsidRDefault="00F54616"/>
    <w:sectPr w:rsidR="00F54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074"/>
    <w:multiLevelType w:val="multilevel"/>
    <w:tmpl w:val="ADEA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75B0D"/>
    <w:multiLevelType w:val="multilevel"/>
    <w:tmpl w:val="9078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74BA5"/>
    <w:multiLevelType w:val="multilevel"/>
    <w:tmpl w:val="5D7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D422B"/>
    <w:multiLevelType w:val="multilevel"/>
    <w:tmpl w:val="3BA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E3555"/>
    <w:multiLevelType w:val="multilevel"/>
    <w:tmpl w:val="66FE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23BD7"/>
    <w:multiLevelType w:val="multilevel"/>
    <w:tmpl w:val="C18E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66465"/>
    <w:multiLevelType w:val="multilevel"/>
    <w:tmpl w:val="900C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A2348"/>
    <w:multiLevelType w:val="multilevel"/>
    <w:tmpl w:val="6192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42680"/>
    <w:multiLevelType w:val="multilevel"/>
    <w:tmpl w:val="714E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17123"/>
    <w:multiLevelType w:val="multilevel"/>
    <w:tmpl w:val="1810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26FCD"/>
    <w:multiLevelType w:val="multilevel"/>
    <w:tmpl w:val="D17E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272E4"/>
    <w:multiLevelType w:val="multilevel"/>
    <w:tmpl w:val="ED24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E552C"/>
    <w:multiLevelType w:val="multilevel"/>
    <w:tmpl w:val="8554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470E0"/>
    <w:multiLevelType w:val="multilevel"/>
    <w:tmpl w:val="402A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922496"/>
    <w:multiLevelType w:val="multilevel"/>
    <w:tmpl w:val="AC5A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F86A48"/>
    <w:multiLevelType w:val="multilevel"/>
    <w:tmpl w:val="4330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315E5"/>
    <w:multiLevelType w:val="multilevel"/>
    <w:tmpl w:val="5F20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04106">
    <w:abstractNumId w:val="14"/>
  </w:num>
  <w:num w:numId="2" w16cid:durableId="2137290492">
    <w:abstractNumId w:val="7"/>
  </w:num>
  <w:num w:numId="3" w16cid:durableId="1820799818">
    <w:abstractNumId w:val="12"/>
  </w:num>
  <w:num w:numId="4" w16cid:durableId="1765151962">
    <w:abstractNumId w:val="11"/>
  </w:num>
  <w:num w:numId="5" w16cid:durableId="1570001768">
    <w:abstractNumId w:val="8"/>
  </w:num>
  <w:num w:numId="6" w16cid:durableId="295574446">
    <w:abstractNumId w:val="3"/>
  </w:num>
  <w:num w:numId="7" w16cid:durableId="1097562843">
    <w:abstractNumId w:val="2"/>
  </w:num>
  <w:num w:numId="8" w16cid:durableId="497888912">
    <w:abstractNumId w:val="0"/>
  </w:num>
  <w:num w:numId="9" w16cid:durableId="83116553">
    <w:abstractNumId w:val="16"/>
  </w:num>
  <w:num w:numId="10" w16cid:durableId="1149401370">
    <w:abstractNumId w:val="6"/>
  </w:num>
  <w:num w:numId="11" w16cid:durableId="214900748">
    <w:abstractNumId w:val="4"/>
  </w:num>
  <w:num w:numId="12" w16cid:durableId="1494103965">
    <w:abstractNumId w:val="9"/>
  </w:num>
  <w:num w:numId="13" w16cid:durableId="959723962">
    <w:abstractNumId w:val="10"/>
  </w:num>
  <w:num w:numId="14" w16cid:durableId="934174449">
    <w:abstractNumId w:val="13"/>
  </w:num>
  <w:num w:numId="15" w16cid:durableId="1416899209">
    <w:abstractNumId w:val="5"/>
  </w:num>
  <w:num w:numId="16" w16cid:durableId="380131837">
    <w:abstractNumId w:val="15"/>
  </w:num>
  <w:num w:numId="17" w16cid:durableId="1570850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16"/>
    <w:rsid w:val="004801A0"/>
    <w:rsid w:val="005106CF"/>
    <w:rsid w:val="00673EBA"/>
    <w:rsid w:val="007313EE"/>
    <w:rsid w:val="00883B43"/>
    <w:rsid w:val="008C1849"/>
    <w:rsid w:val="00B21A35"/>
    <w:rsid w:val="00C657FF"/>
    <w:rsid w:val="00C81A66"/>
    <w:rsid w:val="00F54616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A62E"/>
  <w15:chartTrackingRefBased/>
  <w15:docId w15:val="{80DEC036-0CFA-4307-94F4-3DE991CC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54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54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54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54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54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54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54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54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54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54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54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54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5461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5461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546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546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546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546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54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54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54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54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54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546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5461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5461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54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5461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5461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5461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5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-ren.hu/hom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un-ren.hu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un-ren.hu/data/hun-ren/intezetek/wigner/Wigner_Organisational_and_Operational_Regulations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hun-ren.hu/data/hun-ren/intezetek/szmsz/HUN-REN_Organisational_and_Operational_Regulation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un-ren.hu/hun-ren-en/hun-ren-wigner-research-centre-for-physics-1099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4fb32-aacb-44a1-84ed-2fe083f2419f" xsi:nil="true"/>
    <lcf76f155ced4ddcb4097134ff3c332f xmlns="ceb46385-7433-4d30-8ce2-f79fba7277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67E45232EF1D54B9E52D50172D46A75" ma:contentTypeVersion="19" ma:contentTypeDescription="Új dokumentum létrehozása." ma:contentTypeScope="" ma:versionID="5cd77e883d5ba60ccb3633d81db19b05">
  <xsd:schema xmlns:xsd="http://www.w3.org/2001/XMLSchema" xmlns:xs="http://www.w3.org/2001/XMLSchema" xmlns:p="http://schemas.microsoft.com/office/2006/metadata/properties" xmlns:ns2="ceb46385-7433-4d30-8ce2-f79fba727789" xmlns:ns3="fe24fb32-aacb-44a1-84ed-2fe083f2419f" targetNamespace="http://schemas.microsoft.com/office/2006/metadata/properties" ma:root="true" ma:fieldsID="6e26ff9f25df927c0e576211287b19b7" ns2:_="" ns3:_="">
    <xsd:import namespace="ceb46385-7433-4d30-8ce2-f79fba727789"/>
    <xsd:import namespace="fe24fb32-aacb-44a1-84ed-2fe083f24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46385-7433-4d30-8ce2-f79fba727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71cdc92-b58b-4951-b2f5-21b24e372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4fb32-aacb-44a1-84ed-2fe083f24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8c61f9-af4d-4615-8768-ccb91956c11d}" ma:internalName="TaxCatchAll" ma:showField="CatchAllData" ma:web="fe24fb32-aacb-44a1-84ed-2fe083f24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91015-719E-4ED1-887D-0F7300BAD678}">
  <ds:schemaRefs>
    <ds:schemaRef ds:uri="http://schemas.microsoft.com/office/2006/metadata/properties"/>
    <ds:schemaRef ds:uri="http://schemas.microsoft.com/office/infopath/2007/PartnerControls"/>
    <ds:schemaRef ds:uri="fe24fb32-aacb-44a1-84ed-2fe083f2419f"/>
    <ds:schemaRef ds:uri="ceb46385-7433-4d30-8ce2-f79fba727789"/>
  </ds:schemaRefs>
</ds:datastoreItem>
</file>

<file path=customXml/itemProps2.xml><?xml version="1.0" encoding="utf-8"?>
<ds:datastoreItem xmlns:ds="http://schemas.openxmlformats.org/officeDocument/2006/customXml" ds:itemID="{30106E92-3EC2-4C10-8FFE-BA39C1244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37FA5-D56F-4347-8070-1783230DA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46385-7433-4d30-8ce2-f79fba727789"/>
    <ds:schemaRef ds:uri="fe24fb32-aacb-44a1-84ed-2fe083f24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2600</Words>
  <Characters>17944</Characters>
  <Application>Microsoft Office Word</Application>
  <DocSecurity>4</DocSecurity>
  <Lines>149</Lines>
  <Paragraphs>41</Paragraphs>
  <ScaleCrop>false</ScaleCrop>
  <Company/>
  <LinksUpToDate>false</LinksUpToDate>
  <CharactersWithSpaces>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Illyés Ágnes</dc:creator>
  <cp:keywords/>
  <dc:description/>
  <cp:lastModifiedBy>Verbovszky Gabriella</cp:lastModifiedBy>
  <cp:revision>2</cp:revision>
  <dcterms:created xsi:type="dcterms:W3CDTF">2026-05-29T08:03:00Z</dcterms:created>
  <dcterms:modified xsi:type="dcterms:W3CDTF">2026-05-29T08:03:00Z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0x010100767E45232EF1D54B9E52D50172D46A75</vt:lpwstr>
  </property>
  <property fmtid="{D5CDD505-2E9C-101B-9397-08002B2CF9AE}" pid="3" name="MediaServiceImageTags">
    <vt:lpwstr/>
  </property>
</Properties>
</file>